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34" w:rsidRPr="00F50D34" w:rsidRDefault="00F50D34" w:rsidP="00F50D34">
      <w:pPr>
        <w:tabs>
          <w:tab w:val="left" w:pos="-720"/>
        </w:tabs>
        <w:spacing w:after="0" w:line="240" w:lineRule="auto"/>
        <w:jc w:val="center"/>
        <w:rPr>
          <w:rFonts w:ascii="Times New Roman" w:eastAsia="Times New Roman" w:hAnsi="Times New Roman" w:cs="David"/>
          <w:b/>
          <w:bCs/>
          <w:sz w:val="32"/>
          <w:szCs w:val="32"/>
          <w:u w:val="single"/>
          <w:rtl/>
          <w:lang w:eastAsia="he-IL"/>
        </w:rPr>
      </w:pPr>
      <w:r w:rsidRPr="00F50D34">
        <w:rPr>
          <w:rFonts w:ascii="Times New Roman" w:eastAsia="Times New Roman" w:hAnsi="Times New Roman" w:cs="David" w:hint="cs"/>
          <w:b/>
          <w:bCs/>
          <w:sz w:val="32"/>
          <w:szCs w:val="32"/>
          <w:u w:val="single"/>
          <w:rtl/>
          <w:lang w:eastAsia="he-IL"/>
        </w:rPr>
        <w:t>לימודי</w:t>
      </w:r>
      <w:r w:rsidRPr="00F50D34">
        <w:rPr>
          <w:rFonts w:ascii="Times New Roman" w:eastAsia="Times New Roman" w:hAnsi="Times New Roman" w:cs="David" w:hint="cs"/>
          <w:b/>
          <w:bCs/>
          <w:sz w:val="32"/>
          <w:szCs w:val="32"/>
          <w:u w:val="single"/>
          <w:lang w:eastAsia="he-IL"/>
        </w:rPr>
        <w:t xml:space="preserve"> </w:t>
      </w:r>
      <w:r w:rsidRPr="00F50D34">
        <w:rPr>
          <w:rFonts w:ascii="Times New Roman" w:eastAsia="Times New Roman" w:hAnsi="Times New Roman" w:cs="David" w:hint="cs"/>
          <w:b/>
          <w:bCs/>
          <w:sz w:val="32"/>
          <w:szCs w:val="32"/>
          <w:u w:val="single"/>
          <w:rtl/>
          <w:lang w:eastAsia="he-IL"/>
        </w:rPr>
        <w:t xml:space="preserve"> תואר שלישי (דוקטורט)</w:t>
      </w: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r w:rsidRPr="00F50D34">
        <w:rPr>
          <w:rFonts w:ascii="Times New Roman" w:eastAsia="Times New Roman" w:hAnsi="Times New Roman" w:cs="David" w:hint="cs"/>
          <w:sz w:val="24"/>
          <w:szCs w:val="28"/>
          <w:rtl/>
          <w:lang w:eastAsia="he-IL"/>
        </w:rPr>
        <w:t xml:space="preserve">תכנית הדוקטורט של המחלקה לסטטיסטיקה מכשירה תלמידים בעלי יכולת לעבודה מחקרית עצמאית. עבודת המחקר מתקיימת בהנחיה של החוקרים הבכירים במחלקה לסטטיסטיקה ומטרתה לתרום תרומה חדשנית ומשמעותית לעולם המדע בכלל וסטטיסטיקה בפרט.  </w:t>
      </w: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r w:rsidRPr="00F50D34">
        <w:rPr>
          <w:rFonts w:ascii="Times New Roman" w:eastAsia="Times New Roman" w:hAnsi="Times New Roman" w:cs="David" w:hint="cs"/>
          <w:sz w:val="24"/>
          <w:szCs w:val="28"/>
          <w:rtl/>
          <w:lang w:eastAsia="he-IL"/>
        </w:rPr>
        <w:t>תלמידי הדוקטורט הינם חלק אינטגרלי מצוות המחלקה לסטטיסטיקה. מצופה מהם להשתתף בפעילות האקדמית המתנהלת במחלקה, בסמינרים מחלקתיים, ובסמינרים הייעודיים של תלמידי המחקר. המחלקה לסטטיסטיקה מעודדת את תלמידי הדוקטורט לעבוד כמורים ומתרגלים בקורסים השונים הניתנים במסגרתה.</w:t>
      </w: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r w:rsidRPr="00F50D34">
        <w:rPr>
          <w:rFonts w:ascii="Times New Roman" w:eastAsia="Times New Roman" w:hAnsi="Times New Roman" w:cs="David" w:hint="cs"/>
          <w:sz w:val="24"/>
          <w:szCs w:val="28"/>
          <w:u w:val="single"/>
          <w:rtl/>
          <w:lang w:eastAsia="he-IL"/>
        </w:rPr>
        <w:t>תנאי קבלה</w:t>
      </w:r>
      <w:r w:rsidRPr="00F50D34">
        <w:rPr>
          <w:rFonts w:ascii="Times New Roman" w:eastAsia="Times New Roman" w:hAnsi="Times New Roman" w:cs="David" w:hint="cs"/>
          <w:sz w:val="24"/>
          <w:szCs w:val="28"/>
          <w:rtl/>
          <w:lang w:eastAsia="he-IL"/>
        </w:rPr>
        <w:t>:</w:t>
      </w: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r w:rsidRPr="00F50D34">
        <w:rPr>
          <w:rFonts w:ascii="Times New Roman" w:eastAsia="Times New Roman" w:hAnsi="Times New Roman" w:cs="David" w:hint="cs"/>
          <w:sz w:val="24"/>
          <w:szCs w:val="28"/>
          <w:rtl/>
          <w:lang w:eastAsia="he-IL"/>
        </w:rPr>
        <w:t xml:space="preserve">הרישום ללימודי מחקר נעשה לאחר סיום לימודי מוסמך במסלול המחקרי. למסלול הישיר ניתן להירשם לאחר סיום לימודי הבוגר או לאחר שנה ראשונה בלימודי המוסמך. פירוט של תנאי הקבלה ניתן למצוא בסעיפים 3.1-3.2 של </w:t>
      </w:r>
      <w:hyperlink r:id="rId5" w:history="1">
        <w:r w:rsidRPr="00F50D34">
          <w:rPr>
            <w:rFonts w:ascii="Times New Roman" w:eastAsia="Times New Roman" w:hAnsi="Times New Roman" w:cs="David"/>
            <w:color w:val="0000FF"/>
            <w:sz w:val="24"/>
            <w:szCs w:val="28"/>
            <w:u w:val="single"/>
            <w:rtl/>
            <w:lang w:eastAsia="he-IL"/>
          </w:rPr>
          <w:t>התקנון לתלמידי מחקר</w:t>
        </w:r>
      </w:hyperlink>
      <w:r w:rsidRPr="00F50D34">
        <w:rPr>
          <w:rFonts w:ascii="Times New Roman" w:eastAsia="Times New Roman" w:hAnsi="Times New Roman" w:cs="David" w:hint="cs"/>
          <w:sz w:val="24"/>
          <w:szCs w:val="28"/>
          <w:rtl/>
          <w:lang w:eastAsia="he-IL"/>
        </w:rPr>
        <w:t xml:space="preserve">. תלמידים שמעמדם נופל במעט מן הנדרש לקבלה כתלמידי מחקר יוכלו להתקבל כתלמידים מתמחים למחקר לצורך השלמת דרישות הקבלה (ראו סעיף 3.3 של </w:t>
      </w:r>
      <w:hyperlink r:id="rId6" w:history="1">
        <w:r w:rsidRPr="00F50D34">
          <w:rPr>
            <w:rFonts w:ascii="Times New Roman" w:eastAsia="Times New Roman" w:hAnsi="Times New Roman" w:cs="David"/>
            <w:color w:val="0000FF"/>
            <w:sz w:val="24"/>
            <w:szCs w:val="28"/>
            <w:u w:val="single"/>
            <w:rtl/>
            <w:lang w:eastAsia="he-IL"/>
          </w:rPr>
          <w:t>התקנון לתלמידי מחקר</w:t>
        </w:r>
      </w:hyperlink>
      <w:r w:rsidRPr="00F50D34">
        <w:rPr>
          <w:rFonts w:ascii="Times New Roman" w:eastAsia="Times New Roman" w:hAnsi="Times New Roman" w:cs="David" w:hint="cs"/>
          <w:sz w:val="24"/>
          <w:szCs w:val="28"/>
          <w:rtl/>
          <w:lang w:eastAsia="he-IL"/>
        </w:rPr>
        <w:t>).</w:t>
      </w: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r w:rsidRPr="00F50D34">
        <w:rPr>
          <w:rFonts w:ascii="Times New Roman" w:eastAsia="Times New Roman" w:hAnsi="Times New Roman" w:cs="David" w:hint="cs"/>
          <w:sz w:val="24"/>
          <w:szCs w:val="28"/>
          <w:rtl/>
          <w:lang w:eastAsia="he-IL"/>
        </w:rPr>
        <w:t xml:space="preserve">על המתעניינים לפנות ליועץ לתלמידי מחקר של המחלקה טרם הרישום ברשות לתלמידי מחקר. מומלץ לפנות במקביל גם למנחים פוטנציאליים. על המועמד להגיש את טפסי הקבלה בצירוף הסכמת אחד מחברי הסגל הקבועים של המחלקה להדריך את התלמיד בעבודת המחקר. (ניתן להירשם ללימודי התואר השלישי על תנאי גם אם לא נמצא מנחה, אך יש למצוא מנחה מתאים בתוך פרק זמן שיוגדר על ידי הרשות לתלמידי מחקר).  </w:t>
      </w:r>
    </w:p>
    <w:p w:rsidR="00F50D34" w:rsidRPr="00F50D34" w:rsidRDefault="00F50D34" w:rsidP="00F50D34">
      <w:pPr>
        <w:tabs>
          <w:tab w:val="left" w:pos="-720"/>
        </w:tabs>
        <w:spacing w:after="0" w:line="240" w:lineRule="auto"/>
        <w:jc w:val="both"/>
        <w:rPr>
          <w:rFonts w:ascii="Times New Roman" w:eastAsia="Times New Roman" w:hAnsi="Times New Roman" w:cs="David"/>
          <w:sz w:val="24"/>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sz w:val="28"/>
          <w:szCs w:val="28"/>
          <w:rtl/>
          <w:lang w:eastAsia="he-IL"/>
        </w:rPr>
        <w:t>ההרשמה לתוכנית הדוקטורט והגשת הטפסים הפורמאליים נעשית דרך הרשות לתלמידי מחקר של האוניברסיטה המטפלת בכל תלמידי הדוקטורט באוניברסיטה</w:t>
      </w:r>
      <w:r w:rsidRPr="00F50D34">
        <w:rPr>
          <w:rFonts w:ascii="Times New Roman" w:eastAsia="Times New Roman" w:hAnsi="Times New Roman" w:cs="David" w:hint="cs"/>
          <w:sz w:val="28"/>
          <w:szCs w:val="28"/>
          <w:rtl/>
          <w:lang w:eastAsia="he-IL"/>
        </w:rPr>
        <w:t xml:space="preserve">. כתובת אתר הרשות הוא </w:t>
      </w:r>
      <w:hyperlink r:id="rId7" w:history="1">
        <w:r w:rsidRPr="00F50D34">
          <w:rPr>
            <w:rFonts w:ascii="Times New Roman" w:eastAsia="Times New Roman" w:hAnsi="Times New Roman" w:cs="David"/>
            <w:color w:val="0000FF"/>
            <w:sz w:val="28"/>
            <w:szCs w:val="28"/>
            <w:u w:val="single"/>
            <w:lang w:eastAsia="he-IL"/>
          </w:rPr>
          <w:t>http://www.research-students.huji.ac.il</w:t>
        </w:r>
        <w:r w:rsidRPr="00F50D34">
          <w:rPr>
            <w:rFonts w:ascii="Times New Roman" w:eastAsia="Times New Roman" w:hAnsi="Times New Roman" w:cs="David"/>
            <w:color w:val="0000FF"/>
            <w:sz w:val="28"/>
            <w:szCs w:val="28"/>
            <w:u w:val="single"/>
            <w:rtl/>
            <w:lang w:eastAsia="he-IL"/>
          </w:rPr>
          <w:t>/</w:t>
        </w:r>
      </w:hyperlink>
      <w:r w:rsidRPr="00F50D34">
        <w:rPr>
          <w:rFonts w:ascii="Times New Roman" w:eastAsia="Times New Roman" w:hAnsi="Times New Roman" w:cs="David" w:hint="cs"/>
          <w:sz w:val="28"/>
          <w:szCs w:val="28"/>
          <w:rtl/>
          <w:lang w:eastAsia="he-IL"/>
        </w:rPr>
        <w:t>.</w:t>
      </w:r>
      <w:r w:rsidRPr="00F50D34">
        <w:rPr>
          <w:rFonts w:ascii="Times New Roman" w:eastAsia="Times New Roman" w:hAnsi="Times New Roman" w:cs="David"/>
          <w:sz w:val="28"/>
          <w:szCs w:val="28"/>
          <w:rtl/>
          <w:lang w:eastAsia="he-IL"/>
        </w:rPr>
        <w:t xml:space="preserve"> </w:t>
      </w: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sz w:val="28"/>
          <w:szCs w:val="28"/>
          <w:rtl/>
          <w:lang w:eastAsia="he-IL"/>
        </w:rPr>
        <w:t>הרשות מרכזת את תהליכי הקבלה סביב שני מועדים. באתר הרשות ניתן למצוא את הטפסים הדרושים לקבלה. חומר ההרשמה מועבר לוועדת קבלה של המחלקה המקבלת את ההחלטות בהתאם לכללי הרשות ללימודי מחק</w:t>
      </w:r>
      <w:r w:rsidRPr="00F50D34">
        <w:rPr>
          <w:rFonts w:ascii="Times New Roman" w:eastAsia="Times New Roman" w:hAnsi="Times New Roman" w:cs="David" w:hint="cs"/>
          <w:sz w:val="28"/>
          <w:szCs w:val="28"/>
          <w:rtl/>
          <w:lang w:eastAsia="he-IL"/>
        </w:rPr>
        <w:t>ר.</w:t>
      </w:r>
      <w:r w:rsidRPr="00F50D34">
        <w:rPr>
          <w:rFonts w:ascii="Times New Roman" w:eastAsia="Times New Roman" w:hAnsi="Times New Roman" w:cs="David"/>
          <w:sz w:val="28"/>
          <w:szCs w:val="28"/>
          <w:lang w:eastAsia="he-IL"/>
        </w:rPr>
        <w:t xml:space="preserve"> </w:t>
      </w: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sz w:val="28"/>
          <w:szCs w:val="28"/>
          <w:rtl/>
          <w:lang w:eastAsia="he-IL"/>
        </w:rPr>
        <w:t>הבהרות לגבי בעלי תעודת "בוגר" מאוניברסיטה מחו"ל: בוגרים אלו יידונו רק לאחר שעמדו בדרישות הקבלה של המשרד לקבלת תלמידים מחו"ל שביכולתו לקבוע תקפות של תעודות חיצוניו</w:t>
      </w:r>
      <w:r w:rsidRPr="00F50D34">
        <w:rPr>
          <w:rFonts w:ascii="Times New Roman" w:eastAsia="Times New Roman" w:hAnsi="Times New Roman" w:cs="David" w:hint="cs"/>
          <w:sz w:val="28"/>
          <w:szCs w:val="28"/>
          <w:rtl/>
          <w:lang w:eastAsia="he-IL"/>
        </w:rPr>
        <w:t>ת.</w:t>
      </w:r>
      <w:r w:rsidRPr="00F50D34">
        <w:rPr>
          <w:rFonts w:ascii="Times New Roman" w:eastAsia="Times New Roman" w:hAnsi="Times New Roman" w:cs="David"/>
          <w:sz w:val="28"/>
          <w:szCs w:val="28"/>
          <w:lang w:eastAsia="he-IL"/>
        </w:rPr>
        <w:t xml:space="preserve"> </w:t>
      </w:r>
      <w:r w:rsidRPr="00F50D34">
        <w:rPr>
          <w:rFonts w:ascii="Times New Roman" w:eastAsia="Times New Roman" w:hAnsi="Times New Roman" w:cs="David"/>
          <w:sz w:val="28"/>
          <w:szCs w:val="28"/>
          <w:rtl/>
          <w:lang w:eastAsia="he-IL"/>
        </w:rPr>
        <w:t>בוגרים אלה עשויים להידרש לספק סילבוס של תכנית הלימודים</w:t>
      </w:r>
      <w:r w:rsidRPr="00F50D34">
        <w:rPr>
          <w:rFonts w:ascii="Times New Roman" w:eastAsia="Times New Roman" w:hAnsi="Times New Roman" w:cs="David" w:hint="cs"/>
          <w:sz w:val="28"/>
          <w:szCs w:val="28"/>
          <w:rtl/>
          <w:lang w:eastAsia="he-IL"/>
        </w:rPr>
        <w:t xml:space="preserve">. </w:t>
      </w: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sz w:val="28"/>
          <w:szCs w:val="28"/>
          <w:rtl/>
          <w:lang w:eastAsia="he-IL"/>
        </w:rPr>
        <w:t>סיום בהצלחה של עבודת המחקר וקבלת התואר השלישי מותנה בעמידה בדרישות של הרשות לתלמידי מחקר ובדרישות המחלקה</w:t>
      </w:r>
      <w:r w:rsidRPr="00F50D34">
        <w:rPr>
          <w:rFonts w:ascii="Times New Roman" w:eastAsia="Times New Roman" w:hAnsi="Times New Roman" w:cs="David"/>
          <w:sz w:val="28"/>
          <w:szCs w:val="28"/>
          <w:lang w:eastAsia="he-IL"/>
        </w:rPr>
        <w:t>.</w:t>
      </w: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tabs>
          <w:tab w:val="left" w:pos="-720"/>
        </w:tabs>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bidi w:val="0"/>
        <w:spacing w:after="0" w:line="240" w:lineRule="auto"/>
        <w:jc w:val="both"/>
        <w:rPr>
          <w:rFonts w:ascii="Times New Roman" w:eastAsia="Times New Roman" w:hAnsi="Times New Roman" w:cs="David"/>
          <w:sz w:val="24"/>
          <w:szCs w:val="24"/>
          <w:rtl/>
          <w:lang w:eastAsia="he-IL"/>
        </w:rPr>
      </w:pPr>
    </w:p>
    <w:p w:rsidR="00F50D34" w:rsidRPr="00F50D34" w:rsidRDefault="00F50D34" w:rsidP="00F50D34">
      <w:pPr>
        <w:spacing w:after="0" w:line="240" w:lineRule="auto"/>
        <w:jc w:val="both"/>
        <w:rPr>
          <w:rFonts w:ascii="Times New Roman" w:eastAsia="Times New Roman" w:hAnsi="Times New Roman" w:cs="David"/>
          <w:b/>
          <w:bCs/>
          <w:sz w:val="20"/>
          <w:szCs w:val="20"/>
          <w:rtl/>
          <w:lang w:eastAsia="he-IL"/>
        </w:rPr>
      </w:pP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r w:rsidRPr="00F50D34">
        <w:rPr>
          <w:rFonts w:ascii="Times New Roman" w:eastAsia="Times New Roman" w:hAnsi="Times New Roman" w:cs="David" w:hint="cs"/>
          <w:b/>
          <w:bCs/>
          <w:sz w:val="28"/>
          <w:szCs w:val="28"/>
          <w:rtl/>
          <w:lang w:eastAsia="he-IL"/>
        </w:rPr>
        <w:lastRenderedPageBreak/>
        <w:t>מסלול לימודי דוקטורט בחקר הרציונאליות (לתלמידי מוסמך ודוקטורט)</w:t>
      </w: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r w:rsidRPr="00F50D34">
        <w:rPr>
          <w:rFonts w:ascii="Times New Roman" w:eastAsia="Times New Roman" w:hAnsi="Times New Roman" w:cs="David" w:hint="cs"/>
          <w:b/>
          <w:bCs/>
          <w:sz w:val="28"/>
          <w:szCs w:val="28"/>
          <w:rtl/>
          <w:lang w:eastAsia="he-IL"/>
        </w:rPr>
        <w:t xml:space="preserve">מטרת הלימודים: </w:t>
      </w:r>
      <w:r w:rsidRPr="00F50D34">
        <w:rPr>
          <w:rFonts w:ascii="Times New Roman" w:eastAsia="Times New Roman" w:hAnsi="Times New Roman" w:cs="David" w:hint="cs"/>
          <w:sz w:val="28"/>
          <w:szCs w:val="28"/>
          <w:rtl/>
          <w:lang w:eastAsia="he-IL"/>
        </w:rPr>
        <w:t>תהליכי קבלת החלטות והסברים רציונאליים לתופעות טבע ותופעות חברתיות נחקרים במגוון רחב של כלים בתחומי מחקר רבים.</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כלים ומושגים מתמטיים של תורת המשחקים משמשים למשל להבנה בסיסית של תהליכים בכלכלה, אבולוציה ביולוגית וגם בתכנון ובהבנת חקיקה משפטית.</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פסיכולוגים חוקרים תהליכי קבלת החלטות רציונאליים וכן טעויות בשיפוט, וסטטיסטיקאים חוקרים שיטות לקבלת החלטות על סמך נתונים סטטיסטיים.</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המרכז לחקר הרציונאליות הוא מרכז בינתחומי שחוקריו באים מן המחלקות: חינוך, פילוסופיה, פסיכולוגיה, מתמטיקה, מדעי המחשב, כלכלה, מנהל עסקים, משפטים, הוראת המדעים, סטטיסטיקה, ביולוגיה ומדיניות ציבורית.</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r w:rsidRPr="00F50D34">
        <w:rPr>
          <w:rFonts w:ascii="Times New Roman" w:eastAsia="Times New Roman" w:hAnsi="Times New Roman" w:cs="David" w:hint="cs"/>
          <w:b/>
          <w:bCs/>
          <w:sz w:val="28"/>
          <w:szCs w:val="28"/>
          <w:rtl/>
          <w:lang w:eastAsia="he-IL"/>
        </w:rPr>
        <w:t xml:space="preserve">תנאי קבלה: </w:t>
      </w:r>
      <w:r w:rsidRPr="00F50D34">
        <w:rPr>
          <w:rFonts w:ascii="Times New Roman" w:eastAsia="Times New Roman" w:hAnsi="Times New Roman" w:cs="David" w:hint="cs"/>
          <w:sz w:val="28"/>
          <w:szCs w:val="28"/>
          <w:rtl/>
          <w:lang w:eastAsia="he-IL"/>
        </w:rPr>
        <w:t>המרכז לחקר הרציונאליות פתח  בשנה"ל תשס"ו תכנית של מסלול לדוקטורט בשיתוף עם החוגים מהם באים חברי המרכז או חוג מתאים אחר.</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הקבלה לתכנית מותנית בקבלה לתואר מוסמך ועמידה בתנאי המסלול הישיר לדוקטורט באחד החוגים ובעמידה בתנאי המרכז לחקר הרציונאליות.</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הרקע הנדרש כולל מתמטיקה לפחות ברמה הנדרשת במחלקה לסטטיסטיקה (חשבון דיפרנציאלי ואינטגרלי ואלגברה ליניארית), קורס במבוא לסטטיסטיקה והסתברות וכן קורס בתורת המשחקים. ניתן להשלים חלק מחומר הרקע במהלך הלימודים בהסכמת יועץ התוכנית.</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 xml:space="preserve">כל תלמיד יידרש לעמוד בכל דרישות החוג בו הוא רשום. כמו-כן, יש ללמוד קורסים בנושאי הרציונאליות. עבודת הדוקטורט תבוצע בהדרכת חבר המרכז, וניתן לצרף מדריך שאינו חבר מרכז. תלמיד שיחליט להפסיק את הלימודים יוכל לסיים עם תואר מוסמך בחוג בו הוא רשום בתנאי שיעמוד בתנאי החוג. </w:t>
      </w: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p>
    <w:p w:rsidR="00F50D34" w:rsidRPr="00F50D34" w:rsidRDefault="00F50D34" w:rsidP="00F50D34">
      <w:pPr>
        <w:spacing w:after="0" w:line="240" w:lineRule="auto"/>
        <w:jc w:val="both"/>
        <w:rPr>
          <w:rFonts w:ascii="Times New Roman" w:eastAsia="Times New Roman" w:hAnsi="Times New Roman" w:cs="David"/>
          <w:b/>
          <w:bCs/>
          <w:sz w:val="28"/>
          <w:szCs w:val="28"/>
          <w:rtl/>
          <w:lang w:eastAsia="he-IL"/>
        </w:rPr>
      </w:pPr>
      <w:r w:rsidRPr="00F50D34">
        <w:rPr>
          <w:rFonts w:ascii="Times New Roman" w:eastAsia="Times New Roman" w:hAnsi="Times New Roman" w:cs="David" w:hint="cs"/>
          <w:b/>
          <w:bCs/>
          <w:sz w:val="28"/>
          <w:szCs w:val="28"/>
          <w:rtl/>
          <w:lang w:eastAsia="he-IL"/>
        </w:rPr>
        <w:t xml:space="preserve">תכנית הלימודים: </w:t>
      </w:r>
      <w:r w:rsidRPr="00F50D34">
        <w:rPr>
          <w:rFonts w:ascii="Times New Roman" w:eastAsia="Times New Roman" w:hAnsi="Times New Roman" w:cs="David" w:hint="cs"/>
          <w:sz w:val="28"/>
          <w:szCs w:val="28"/>
          <w:rtl/>
          <w:lang w:eastAsia="he-IL"/>
        </w:rPr>
        <w:t>קורסים בתחומים העוסקים ברציונאליות ובתהליכי קבלת החלטות ניתנים בחוגים שונים, כגון בבית הספר למדיניות ציבורית, מנהל עסקים, בפקולטה למשפטים ובמחלקות למתמטיקה, כלכלה, פסיכולוגיה, סטטיסטיקה, מדעי החיים ועוד.</w:t>
      </w: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p>
    <w:p w:rsidR="00F50D34" w:rsidRPr="00F50D34" w:rsidRDefault="00F50D34" w:rsidP="00F50D34">
      <w:pPr>
        <w:spacing w:after="0" w:line="240" w:lineRule="auto"/>
        <w:jc w:val="both"/>
        <w:rPr>
          <w:rFonts w:ascii="Times New Roman" w:eastAsia="Times New Roman" w:hAnsi="Times New Roman" w:cs="David"/>
          <w:sz w:val="28"/>
          <w:szCs w:val="28"/>
          <w:rtl/>
          <w:lang w:eastAsia="he-IL"/>
        </w:rPr>
      </w:pPr>
      <w:r w:rsidRPr="00F50D34">
        <w:rPr>
          <w:rFonts w:ascii="Times New Roman" w:eastAsia="Times New Roman" w:hAnsi="Times New Roman" w:cs="David" w:hint="cs"/>
          <w:sz w:val="28"/>
          <w:szCs w:val="28"/>
          <w:rtl/>
          <w:lang w:eastAsia="he-IL"/>
        </w:rPr>
        <w:t>המרכז יעניק מלגות לתלמידים מצטיינים. לפרטים נוספים ניתן לפנות למזכירות התכנית. טלפון: 02-6584135.</w:t>
      </w:r>
    </w:p>
    <w:p w:rsidR="00F50D34" w:rsidRPr="00F50D34" w:rsidRDefault="00F50D34" w:rsidP="00F50D34">
      <w:pPr>
        <w:bidi w:val="0"/>
        <w:spacing w:after="0" w:line="240" w:lineRule="auto"/>
        <w:jc w:val="both"/>
        <w:rPr>
          <w:rFonts w:ascii="Times New Roman" w:eastAsia="Times New Roman" w:hAnsi="Times New Roman" w:cs="Miriam"/>
          <w:sz w:val="24"/>
          <w:szCs w:val="24"/>
          <w:lang w:eastAsia="he-IL"/>
        </w:rPr>
      </w:pPr>
    </w:p>
    <w:p w:rsidR="00F50D34" w:rsidRPr="00F50D34" w:rsidRDefault="00F50D34" w:rsidP="00F50D34">
      <w:pPr>
        <w:spacing w:after="0" w:line="240" w:lineRule="auto"/>
        <w:jc w:val="both"/>
        <w:rPr>
          <w:rFonts w:ascii="Times New Roman" w:eastAsia="Times New Roman" w:hAnsi="Times New Roman" w:cs="Miriam"/>
          <w:sz w:val="24"/>
          <w:szCs w:val="24"/>
          <w:lang w:eastAsia="he-IL"/>
        </w:rPr>
      </w:pPr>
    </w:p>
    <w:p w:rsidR="00102B71" w:rsidRPr="00F50D34" w:rsidRDefault="00102B71">
      <w:bookmarkStart w:id="0" w:name="_GoBack"/>
      <w:bookmarkEnd w:id="0"/>
    </w:p>
    <w:sectPr w:rsidR="00102B71" w:rsidRPr="00F50D34" w:rsidSect="00CC04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34"/>
    <w:rsid w:val="00102B71"/>
    <w:rsid w:val="00CC042F"/>
    <w:rsid w:val="00F50D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students.huji.a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ademic-secretary.huji.ac.il/.upload/talmidei%20mehkar%2011.2014.pdf" TargetMode="External"/><Relationship Id="rId5" Type="http://schemas.openxmlformats.org/officeDocument/2006/relationships/hyperlink" Target="http://academic-secretary.huji.ac.il/.upload/talmidei%20mehkar%2011.20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3279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talial</dc:creator>
  <cp:lastModifiedBy>talial</cp:lastModifiedBy>
  <cp:revision>1</cp:revision>
  <dcterms:created xsi:type="dcterms:W3CDTF">2015-09-03T07:38:00Z</dcterms:created>
  <dcterms:modified xsi:type="dcterms:W3CDTF">2015-09-03T07:39:00Z</dcterms:modified>
</cp:coreProperties>
</file>